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BFEF3">
      <w:pPr>
        <w:pStyle w:val="2"/>
        <w:numPr>
          <w:ilvl w:val="0"/>
          <w:numId w:val="0"/>
        </w:numPr>
        <w:spacing w:before="120" w:after="120" w:line="240" w:lineRule="auto"/>
        <w:rPr>
          <w:rFonts w:hint="eastAsia" w:ascii="宋体" w:hAnsi="宋体" w:eastAsia="宋体" w:cs="宋体"/>
          <w:color w:val="auto"/>
          <w:sz w:val="44"/>
          <w:szCs w:val="44"/>
          <w:highlight w:val="none"/>
          <w:lang w:eastAsia="zh-CN"/>
        </w:rPr>
      </w:pPr>
      <w:r>
        <w:rPr>
          <w:rFonts w:hint="eastAsia" w:ascii="宋体" w:hAnsi="宋体" w:eastAsia="宋体" w:cs="宋体"/>
          <w:color w:val="auto"/>
          <w:sz w:val="44"/>
          <w:szCs w:val="44"/>
          <w:highlight w:val="none"/>
          <w:lang w:eastAsia="zh-CN"/>
        </w:rPr>
        <w:t>湖光轩配套服务房屋招租项目</w:t>
      </w:r>
    </w:p>
    <w:p w14:paraId="0C5962FE">
      <w:pPr>
        <w:pStyle w:val="2"/>
        <w:numPr>
          <w:ilvl w:val="0"/>
          <w:numId w:val="0"/>
        </w:numPr>
        <w:spacing w:before="120" w:after="120" w:line="240" w:lineRule="auto"/>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lang w:val="en-US" w:eastAsia="zh-CN"/>
        </w:rPr>
        <w:t>招商</w:t>
      </w:r>
      <w:r>
        <w:rPr>
          <w:rFonts w:hint="eastAsia" w:ascii="宋体" w:hAnsi="宋体" w:eastAsia="宋体" w:cs="宋体"/>
          <w:color w:val="auto"/>
          <w:sz w:val="44"/>
          <w:szCs w:val="44"/>
          <w:highlight w:val="none"/>
        </w:rPr>
        <w:t>公告</w:t>
      </w:r>
    </w:p>
    <w:p w14:paraId="5AB51D41">
      <w:pPr>
        <w:bidi w:val="0"/>
        <w:rPr>
          <w:rFonts w:hint="eastAsia" w:ascii="宋体" w:hAnsi="宋体" w:eastAsia="宋体" w:cs="宋体"/>
          <w:color w:val="auto"/>
          <w:highlight w:val="none"/>
          <w:lang w:eastAsia="zh-CN"/>
        </w:rPr>
      </w:pPr>
    </w:p>
    <w:p w14:paraId="18D68846">
      <w:pPr>
        <w:pStyle w:val="4"/>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line="560" w:lineRule="exact"/>
        <w:ind w:left="0" w:leftChars="0" w:firstLine="640" w:firstLineChars="200"/>
        <w:textAlignment w:val="auto"/>
        <w:rPr>
          <w:rFonts w:hint="eastAsia" w:ascii="方正仿宋_GB18030" w:hAnsi="方正仿宋_GB18030" w:eastAsia="方正仿宋_GB18030" w:cs="方正仿宋_GB18030"/>
          <w:color w:val="auto"/>
          <w:sz w:val="32"/>
          <w:szCs w:val="32"/>
          <w:highlight w:val="none"/>
          <w:lang w:eastAsia="zh-CN"/>
        </w:rPr>
      </w:pPr>
      <w:bookmarkStart w:id="0" w:name="_Toc25478"/>
      <w:r>
        <w:rPr>
          <w:rFonts w:hint="eastAsia" w:ascii="方正仿宋_GB18030" w:hAnsi="方正仿宋_GB18030" w:eastAsia="方正仿宋_GB18030" w:cs="方正仿宋_GB18030"/>
          <w:color w:val="000000"/>
          <w:sz w:val="32"/>
          <w:szCs w:val="32"/>
        </w:rPr>
        <w:t>武汉动物园（武汉市陆生野生动物收容救护中心），位于武汉市汉阳区动物园路 60 号，为全面提升该区域的配套服务质量，满足游客多样化的游园需求，提高</w:t>
      </w:r>
      <w:r>
        <w:rPr>
          <w:rFonts w:hint="eastAsia" w:ascii="方正仿宋_GB18030" w:hAnsi="方正仿宋_GB18030" w:eastAsia="方正仿宋_GB18030" w:cs="方正仿宋_GB18030"/>
          <w:color w:val="000000"/>
          <w:sz w:val="32"/>
          <w:szCs w:val="32"/>
          <w:lang w:val="en-US" w:eastAsia="zh-CN"/>
        </w:rPr>
        <w:t>动物园</w:t>
      </w:r>
      <w:r>
        <w:rPr>
          <w:rFonts w:hint="eastAsia" w:ascii="方正仿宋_GB18030" w:hAnsi="方正仿宋_GB18030" w:eastAsia="方正仿宋_GB18030" w:cs="方正仿宋_GB18030"/>
          <w:color w:val="000000"/>
          <w:sz w:val="32"/>
          <w:szCs w:val="32"/>
        </w:rPr>
        <w:t>商业服务水平，现拟将该服务用房面向社会公开招租。</w:t>
      </w:r>
    </w:p>
    <w:p w14:paraId="6C0026E1">
      <w:pPr>
        <w:pageBreakBefore w:val="0"/>
        <w:widowControl w:val="0"/>
        <w:numPr>
          <w:ilvl w:val="0"/>
          <w:numId w:val="2"/>
        </w:numPr>
        <w:kinsoku/>
        <w:overflowPunct/>
        <w:topLinePunct w:val="0"/>
        <w:autoSpaceDE/>
        <w:autoSpaceDN/>
        <w:bidi w:val="0"/>
        <w:adjustRightInd/>
        <w:snapToGrid/>
        <w:spacing w:line="560" w:lineRule="exact"/>
        <w:ind w:left="0" w:leftChars="0" w:firstLine="641" w:firstLineChars="200"/>
        <w:textAlignment w:val="auto"/>
        <w:rPr>
          <w:rFonts w:hint="eastAsia" w:ascii="方正仿宋_GB18030" w:hAnsi="方正仿宋_GB18030" w:eastAsia="方正仿宋_GB18030" w:cs="方正仿宋_GB18030"/>
          <w:b/>
          <w:bCs/>
          <w:color w:val="000000"/>
          <w:kern w:val="2"/>
          <w:sz w:val="32"/>
          <w:szCs w:val="32"/>
          <w:lang w:val="en-US" w:eastAsia="zh-CN" w:bidi="ar-SA"/>
        </w:rPr>
      </w:pPr>
      <w:r>
        <w:rPr>
          <w:rFonts w:hint="eastAsia" w:ascii="方正仿宋_GB18030" w:hAnsi="方正仿宋_GB18030" w:eastAsia="方正仿宋_GB18030" w:cs="方正仿宋_GB18030"/>
          <w:b/>
          <w:bCs/>
          <w:color w:val="000000"/>
          <w:kern w:val="2"/>
          <w:sz w:val="32"/>
          <w:szCs w:val="32"/>
          <w:lang w:val="en-US" w:eastAsia="zh-CN" w:bidi="ar-SA"/>
        </w:rPr>
        <w:t>招租标的</w:t>
      </w:r>
    </w:p>
    <w:tbl>
      <w:tblPr>
        <w:tblStyle w:val="5"/>
        <w:tblW w:w="0" w:type="auto"/>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90"/>
        <w:gridCol w:w="1411"/>
        <w:gridCol w:w="1606"/>
        <w:gridCol w:w="1625"/>
        <w:gridCol w:w="2280"/>
      </w:tblGrid>
      <w:tr w14:paraId="55AA6AC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721" w:hRule="atLeast"/>
          <w:jc w:val="center"/>
        </w:trPr>
        <w:tc>
          <w:tcPr>
            <w:tcW w:w="169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771BB9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18030" w:hAnsi="方正仿宋_GB18030" w:eastAsia="方正仿宋_GB18030" w:cs="方正仿宋_GB18030"/>
                <w:b w:val="0"/>
                <w:bCs w:val="0"/>
                <w:color w:val="auto"/>
                <w:kern w:val="2"/>
                <w:sz w:val="32"/>
                <w:szCs w:val="32"/>
                <w:highlight w:val="none"/>
                <w:lang w:val="en-US" w:eastAsia="zh-CN" w:bidi="ar-SA"/>
              </w:rPr>
            </w:pPr>
            <w:r>
              <w:rPr>
                <w:rFonts w:hint="eastAsia" w:ascii="方正仿宋_GB18030" w:hAnsi="方正仿宋_GB18030" w:eastAsia="方正仿宋_GB18030" w:cs="方正仿宋_GB18030"/>
                <w:b w:val="0"/>
                <w:bCs w:val="0"/>
                <w:color w:val="auto"/>
                <w:kern w:val="2"/>
                <w:sz w:val="32"/>
                <w:szCs w:val="32"/>
                <w:highlight w:val="none"/>
                <w:lang w:val="en-US" w:eastAsia="zh-CN" w:bidi="ar-SA"/>
              </w:rPr>
              <w:t>承租区域</w:t>
            </w:r>
          </w:p>
        </w:tc>
        <w:tc>
          <w:tcPr>
            <w:tcW w:w="141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105F30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18030" w:hAnsi="方正仿宋_GB18030" w:eastAsia="方正仿宋_GB18030" w:cs="方正仿宋_GB18030"/>
                <w:b w:val="0"/>
                <w:bCs w:val="0"/>
                <w:color w:val="auto"/>
                <w:kern w:val="2"/>
                <w:sz w:val="32"/>
                <w:szCs w:val="32"/>
                <w:highlight w:val="none"/>
                <w:lang w:val="en-US" w:eastAsia="zh-CN" w:bidi="ar-SA"/>
              </w:rPr>
            </w:pPr>
            <w:r>
              <w:rPr>
                <w:rFonts w:hint="eastAsia" w:ascii="方正仿宋_GB18030" w:hAnsi="方正仿宋_GB18030" w:eastAsia="方正仿宋_GB18030" w:cs="方正仿宋_GB18030"/>
                <w:b w:val="0"/>
                <w:bCs w:val="0"/>
                <w:color w:val="auto"/>
                <w:kern w:val="2"/>
                <w:sz w:val="32"/>
                <w:szCs w:val="32"/>
                <w:highlight w:val="none"/>
                <w:lang w:val="en-US" w:eastAsia="zh-CN" w:bidi="ar-SA"/>
              </w:rPr>
              <w:t>承租面积</w:t>
            </w:r>
          </w:p>
        </w:tc>
        <w:tc>
          <w:tcPr>
            <w:tcW w:w="160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68B56A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18030" w:hAnsi="方正仿宋_GB18030" w:eastAsia="方正仿宋_GB18030" w:cs="方正仿宋_GB18030"/>
                <w:b w:val="0"/>
                <w:bCs w:val="0"/>
                <w:color w:val="auto"/>
                <w:kern w:val="2"/>
                <w:sz w:val="32"/>
                <w:szCs w:val="32"/>
                <w:highlight w:val="none"/>
                <w:lang w:val="en-US" w:eastAsia="zh-CN" w:bidi="ar-SA"/>
              </w:rPr>
            </w:pPr>
            <w:r>
              <w:rPr>
                <w:rFonts w:hint="eastAsia" w:ascii="方正仿宋_GB18030" w:hAnsi="方正仿宋_GB18030" w:eastAsia="方正仿宋_GB18030" w:cs="方正仿宋_GB18030"/>
                <w:b w:val="0"/>
                <w:bCs w:val="0"/>
                <w:color w:val="auto"/>
                <w:kern w:val="2"/>
                <w:sz w:val="32"/>
                <w:szCs w:val="32"/>
                <w:highlight w:val="none"/>
                <w:lang w:val="en-US" w:eastAsia="zh-CN" w:bidi="ar-SA"/>
              </w:rPr>
              <w:t>承租年限</w:t>
            </w:r>
          </w:p>
        </w:tc>
        <w:tc>
          <w:tcPr>
            <w:tcW w:w="1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3EFEBF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18030" w:hAnsi="方正仿宋_GB18030" w:eastAsia="方正仿宋_GB18030" w:cs="方正仿宋_GB18030"/>
                <w:b w:val="0"/>
                <w:bCs w:val="0"/>
                <w:color w:val="auto"/>
                <w:kern w:val="2"/>
                <w:sz w:val="32"/>
                <w:szCs w:val="32"/>
                <w:highlight w:val="none"/>
                <w:lang w:val="en-US" w:eastAsia="zh-CN" w:bidi="ar-SA"/>
              </w:rPr>
            </w:pPr>
            <w:r>
              <w:rPr>
                <w:rFonts w:hint="eastAsia" w:ascii="方正仿宋_GB18030" w:hAnsi="方正仿宋_GB18030" w:eastAsia="方正仿宋_GB18030" w:cs="方正仿宋_GB18030"/>
                <w:b w:val="0"/>
                <w:bCs w:val="0"/>
                <w:color w:val="auto"/>
                <w:kern w:val="2"/>
                <w:sz w:val="32"/>
                <w:szCs w:val="32"/>
                <w:highlight w:val="none"/>
                <w:lang w:val="en-US" w:eastAsia="zh-CN" w:bidi="ar-SA"/>
              </w:rPr>
              <w:t>业态要求</w:t>
            </w:r>
          </w:p>
        </w:tc>
        <w:tc>
          <w:tcPr>
            <w:tcW w:w="22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E547B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18030" w:hAnsi="方正仿宋_GB18030" w:eastAsia="方正仿宋_GB18030" w:cs="方正仿宋_GB18030"/>
                <w:b w:val="0"/>
                <w:bCs w:val="0"/>
                <w:color w:val="auto"/>
                <w:kern w:val="2"/>
                <w:sz w:val="32"/>
                <w:szCs w:val="32"/>
                <w:highlight w:val="none"/>
                <w:lang w:val="en-US" w:eastAsia="zh-CN" w:bidi="ar-SA"/>
              </w:rPr>
            </w:pPr>
            <w:r>
              <w:rPr>
                <w:rFonts w:hint="eastAsia" w:ascii="方正仿宋_GB18030" w:hAnsi="方正仿宋_GB18030" w:eastAsia="方正仿宋_GB18030" w:cs="方正仿宋_GB18030"/>
                <w:b w:val="0"/>
                <w:bCs w:val="0"/>
                <w:color w:val="auto"/>
                <w:kern w:val="2"/>
                <w:sz w:val="32"/>
                <w:szCs w:val="32"/>
                <w:highlight w:val="none"/>
                <w:lang w:val="en-US" w:eastAsia="zh-CN" w:bidi="ar-SA"/>
              </w:rPr>
              <w:t>备注</w:t>
            </w:r>
          </w:p>
        </w:tc>
      </w:tr>
      <w:tr w14:paraId="3940188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595" w:hRule="atLeast"/>
          <w:jc w:val="center"/>
        </w:trPr>
        <w:tc>
          <w:tcPr>
            <w:tcW w:w="169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6F5040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18030" w:hAnsi="方正仿宋_GB18030" w:eastAsia="方正仿宋_GB18030" w:cs="方正仿宋_GB18030"/>
                <w:b w:val="0"/>
                <w:bCs w:val="0"/>
                <w:color w:val="auto"/>
                <w:kern w:val="2"/>
                <w:sz w:val="32"/>
                <w:szCs w:val="32"/>
                <w:highlight w:val="none"/>
                <w:lang w:val="en-US" w:eastAsia="zh-CN" w:bidi="ar-SA"/>
              </w:rPr>
            </w:pPr>
            <w:r>
              <w:rPr>
                <w:rFonts w:hint="eastAsia" w:ascii="方正仿宋_GB18030" w:hAnsi="方正仿宋_GB18030" w:eastAsia="方正仿宋_GB18030" w:cs="方正仿宋_GB18030"/>
                <w:b w:val="0"/>
                <w:bCs w:val="0"/>
                <w:color w:val="auto"/>
                <w:kern w:val="2"/>
                <w:sz w:val="32"/>
                <w:szCs w:val="32"/>
                <w:highlight w:val="none"/>
                <w:lang w:val="en-US" w:eastAsia="zh-CN" w:bidi="ar-SA"/>
              </w:rPr>
              <w:t>湖光轩配套服务房屋</w:t>
            </w:r>
          </w:p>
        </w:tc>
        <w:tc>
          <w:tcPr>
            <w:tcW w:w="1411"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9A8F4C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18030" w:hAnsi="方正仿宋_GB18030" w:eastAsia="方正仿宋_GB18030" w:cs="方正仿宋_GB18030"/>
                <w:b w:val="0"/>
                <w:bCs w:val="0"/>
                <w:color w:val="auto"/>
                <w:kern w:val="2"/>
                <w:sz w:val="32"/>
                <w:szCs w:val="32"/>
                <w:highlight w:val="none"/>
                <w:lang w:val="en-US" w:eastAsia="zh-CN" w:bidi="ar-SA"/>
              </w:rPr>
            </w:pPr>
            <w:r>
              <w:rPr>
                <w:rFonts w:hint="eastAsia" w:ascii="方正仿宋_GB18030" w:hAnsi="方正仿宋_GB18030" w:eastAsia="方正仿宋_GB18030" w:cs="方正仿宋_GB18030"/>
                <w:b w:val="0"/>
                <w:bCs w:val="0"/>
                <w:color w:val="auto"/>
                <w:kern w:val="2"/>
                <w:sz w:val="32"/>
                <w:szCs w:val="32"/>
                <w:highlight w:val="none"/>
                <w:lang w:val="en-US" w:eastAsia="zh-CN" w:bidi="ar-SA"/>
              </w:rPr>
              <w:t>189㎡</w:t>
            </w:r>
          </w:p>
        </w:tc>
        <w:tc>
          <w:tcPr>
            <w:tcW w:w="160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52D1E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18030" w:hAnsi="方正仿宋_GB18030" w:eastAsia="方正仿宋_GB18030" w:cs="方正仿宋_GB18030"/>
                <w:b w:val="0"/>
                <w:bCs w:val="0"/>
                <w:color w:val="auto"/>
                <w:kern w:val="2"/>
                <w:sz w:val="32"/>
                <w:szCs w:val="32"/>
                <w:highlight w:val="none"/>
                <w:lang w:val="en-US" w:eastAsia="zh-CN" w:bidi="ar-SA"/>
              </w:rPr>
            </w:pPr>
            <w:r>
              <w:rPr>
                <w:rFonts w:hint="eastAsia" w:ascii="方正仿宋_GB18030" w:hAnsi="方正仿宋_GB18030" w:eastAsia="方正仿宋_GB18030" w:cs="方正仿宋_GB18030"/>
                <w:b w:val="0"/>
                <w:bCs w:val="0"/>
                <w:color w:val="auto"/>
                <w:kern w:val="2"/>
                <w:sz w:val="32"/>
                <w:szCs w:val="32"/>
                <w:highlight w:val="none"/>
                <w:lang w:val="en-US" w:eastAsia="zh-CN" w:bidi="ar-SA"/>
              </w:rPr>
              <w:t>3年</w:t>
            </w:r>
          </w:p>
        </w:tc>
        <w:tc>
          <w:tcPr>
            <w:tcW w:w="1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DC9A1E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18030" w:hAnsi="方正仿宋_GB18030" w:eastAsia="方正仿宋_GB18030" w:cs="方正仿宋_GB18030"/>
                <w:b w:val="0"/>
                <w:bCs w:val="0"/>
                <w:color w:val="auto"/>
                <w:kern w:val="2"/>
                <w:sz w:val="32"/>
                <w:szCs w:val="32"/>
                <w:highlight w:val="none"/>
                <w:lang w:val="en-US" w:eastAsia="zh-CN" w:bidi="ar-SA"/>
              </w:rPr>
            </w:pPr>
            <w:r>
              <w:rPr>
                <w:rFonts w:hint="eastAsia" w:ascii="方正仿宋_GB18030" w:hAnsi="方正仿宋_GB18030" w:eastAsia="方正仿宋_GB18030" w:cs="方正仿宋_GB18030"/>
                <w:b w:val="0"/>
                <w:bCs w:val="0"/>
                <w:color w:val="auto"/>
                <w:kern w:val="2"/>
                <w:sz w:val="32"/>
                <w:szCs w:val="32"/>
                <w:highlight w:val="none"/>
                <w:lang w:val="en-US" w:eastAsia="zh-CN" w:bidi="ar-SA"/>
              </w:rPr>
              <w:t>提供休闲茶饮、轻食等配套服务</w:t>
            </w:r>
          </w:p>
        </w:tc>
        <w:tc>
          <w:tcPr>
            <w:tcW w:w="22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D652FA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18030" w:hAnsi="方正仿宋_GB18030" w:eastAsia="方正仿宋_GB18030" w:cs="方正仿宋_GB18030"/>
                <w:b w:val="0"/>
                <w:bCs w:val="0"/>
                <w:color w:val="auto"/>
                <w:kern w:val="2"/>
                <w:sz w:val="32"/>
                <w:szCs w:val="32"/>
                <w:highlight w:val="none"/>
                <w:lang w:val="en-US" w:eastAsia="zh-CN" w:bidi="ar-SA"/>
              </w:rPr>
            </w:pPr>
            <w:r>
              <w:rPr>
                <w:rFonts w:hint="eastAsia" w:ascii="方正仿宋_GB18030" w:hAnsi="方正仿宋_GB18030" w:eastAsia="方正仿宋_GB18030" w:cs="方正仿宋_GB18030"/>
                <w:b/>
                <w:bCs/>
                <w:color w:val="000000"/>
                <w:sz w:val="32"/>
                <w:szCs w:val="32"/>
                <w:u w:val="none"/>
                <w:lang w:val="en-US" w:eastAsia="zh-CN"/>
              </w:rPr>
              <w:t>该房屋位于：园区</w:t>
            </w:r>
            <w:r>
              <w:rPr>
                <w:rFonts w:hint="eastAsia" w:ascii="方正仿宋_GB18030" w:hAnsi="方正仿宋_GB18030" w:eastAsia="方正仿宋_GB18030" w:cs="方正仿宋_GB18030"/>
                <w:b/>
                <w:bCs/>
                <w:color w:val="000000"/>
                <w:sz w:val="32"/>
                <w:szCs w:val="32"/>
                <w:u w:val="none"/>
              </w:rPr>
              <w:t>天鹅湖旁、黑白疣猴笼舍对面</w:t>
            </w:r>
          </w:p>
        </w:tc>
      </w:tr>
    </w:tbl>
    <w:p w14:paraId="0F17DBCF">
      <w:pPr>
        <w:pageBreakBefore w:val="0"/>
        <w:widowControl w:val="0"/>
        <w:numPr>
          <w:ilvl w:val="0"/>
          <w:numId w:val="0"/>
        </w:numPr>
        <w:kinsoku/>
        <w:overflowPunct/>
        <w:topLinePunct w:val="0"/>
        <w:autoSpaceDE/>
        <w:autoSpaceDN/>
        <w:bidi w:val="0"/>
        <w:adjustRightInd/>
        <w:snapToGrid/>
        <w:spacing w:line="560" w:lineRule="exact"/>
        <w:ind w:firstLine="641" w:firstLineChars="200"/>
        <w:jc w:val="left"/>
        <w:textAlignment w:val="auto"/>
        <w:rPr>
          <w:rFonts w:hint="eastAsia" w:ascii="方正仿宋_GB18030" w:hAnsi="方正仿宋_GB18030" w:eastAsia="方正仿宋_GB18030" w:cs="方正仿宋_GB18030"/>
          <w:b/>
          <w:bCs/>
          <w:color w:val="000000"/>
          <w:kern w:val="2"/>
          <w:sz w:val="32"/>
          <w:szCs w:val="32"/>
          <w:lang w:val="en-US" w:eastAsia="zh-CN" w:bidi="ar-SA"/>
        </w:rPr>
      </w:pPr>
      <w:r>
        <w:rPr>
          <w:rFonts w:hint="eastAsia" w:ascii="方正仿宋_GB18030" w:hAnsi="方正仿宋_GB18030" w:eastAsia="方正仿宋_GB18030" w:cs="方正仿宋_GB18030"/>
          <w:b/>
          <w:bCs/>
          <w:color w:val="000000"/>
          <w:kern w:val="2"/>
          <w:sz w:val="32"/>
          <w:szCs w:val="32"/>
          <w:lang w:val="en-US" w:eastAsia="zh-CN" w:bidi="ar-SA"/>
        </w:rPr>
        <w:t>二、租金底价：</w:t>
      </w:r>
    </w:p>
    <w:p w14:paraId="3D46678A">
      <w:pPr>
        <w:pageBreakBefore w:val="0"/>
        <w:widowControl w:val="0"/>
        <w:numPr>
          <w:ilvl w:val="0"/>
          <w:numId w:val="0"/>
        </w:numPr>
        <w:kinsoku/>
        <w:overflowPunct/>
        <w:topLinePunct w:val="0"/>
        <w:autoSpaceDE/>
        <w:autoSpaceDN/>
        <w:bidi w:val="0"/>
        <w:adjustRightInd/>
        <w:snapToGrid/>
        <w:spacing w:line="560" w:lineRule="exact"/>
        <w:ind w:firstLine="640" w:firstLineChars="200"/>
        <w:jc w:val="left"/>
        <w:textAlignment w:val="auto"/>
        <w:rPr>
          <w:rFonts w:hint="eastAsia" w:ascii="方正仿宋_GB18030" w:hAnsi="方正仿宋_GB18030" w:eastAsia="方正仿宋_GB18030" w:cs="方正仿宋_GB18030"/>
          <w:color w:val="000000"/>
          <w:kern w:val="2"/>
          <w:sz w:val="32"/>
          <w:szCs w:val="32"/>
          <w:lang w:val="en-US" w:eastAsia="zh-CN" w:bidi="ar-SA"/>
        </w:rPr>
      </w:pPr>
      <w:r>
        <w:rPr>
          <w:rFonts w:hint="eastAsia" w:ascii="方正仿宋_GB18030" w:hAnsi="方正仿宋_GB18030" w:eastAsia="方正仿宋_GB18030" w:cs="方正仿宋_GB18030"/>
          <w:color w:val="000000"/>
          <w:kern w:val="2"/>
          <w:sz w:val="32"/>
          <w:szCs w:val="32"/>
          <w:lang w:val="en-US" w:eastAsia="zh-CN" w:bidi="ar-SA"/>
        </w:rPr>
        <w:t>年租金出租底价为人民币</w:t>
      </w:r>
      <w:r>
        <w:rPr>
          <w:rFonts w:hint="eastAsia" w:ascii="方正仿宋_GB18030" w:hAnsi="方正仿宋_GB18030" w:eastAsia="方正仿宋_GB18030" w:cs="方正仿宋_GB18030"/>
          <w:b w:val="0"/>
          <w:bCs w:val="0"/>
          <w:color w:val="auto"/>
          <w:kern w:val="2"/>
          <w:sz w:val="32"/>
          <w:szCs w:val="32"/>
          <w:highlight w:val="none"/>
          <w:lang w:val="en-US" w:eastAsia="zh-CN" w:bidi="ar-SA"/>
        </w:rPr>
        <w:t>35.2515万元</w:t>
      </w:r>
      <w:r>
        <w:rPr>
          <w:rFonts w:hint="eastAsia" w:ascii="方正仿宋_GB18030" w:hAnsi="方正仿宋_GB18030" w:eastAsia="方正仿宋_GB18030" w:cs="方正仿宋_GB18030"/>
          <w:color w:val="000000"/>
          <w:kern w:val="2"/>
          <w:sz w:val="32"/>
          <w:szCs w:val="32"/>
          <w:lang w:val="en-US" w:eastAsia="zh-CN" w:bidi="ar-SA"/>
        </w:rPr>
        <w:t>（依据经核准的资产评估结果确定）。本公告仅为招商意向征集，不构成出租要约，最终成交价格以正式招租公开竞价结果为准。</w:t>
      </w:r>
    </w:p>
    <w:p w14:paraId="2D81A740">
      <w:pPr>
        <w:pageBreakBefore w:val="0"/>
        <w:widowControl w:val="0"/>
        <w:numPr>
          <w:ilvl w:val="0"/>
          <w:numId w:val="0"/>
        </w:numPr>
        <w:kinsoku/>
        <w:overflowPunct/>
        <w:topLinePunct w:val="0"/>
        <w:autoSpaceDE/>
        <w:autoSpaceDN/>
        <w:bidi w:val="0"/>
        <w:adjustRightInd/>
        <w:snapToGrid/>
        <w:spacing w:line="560" w:lineRule="exact"/>
        <w:ind w:left="0" w:leftChars="0" w:firstLine="641" w:firstLineChars="200"/>
        <w:textAlignment w:val="auto"/>
        <w:rPr>
          <w:rFonts w:hint="eastAsia" w:ascii="方正仿宋_GB18030" w:hAnsi="方正仿宋_GB18030" w:eastAsia="方正仿宋_GB18030" w:cs="方正仿宋_GB18030"/>
          <w:b/>
          <w:bCs/>
          <w:color w:val="000000"/>
          <w:kern w:val="2"/>
          <w:sz w:val="32"/>
          <w:szCs w:val="32"/>
          <w:u w:val="none"/>
          <w:lang w:val="en-US" w:eastAsia="zh-CN" w:bidi="ar-SA"/>
        </w:rPr>
      </w:pPr>
      <w:r>
        <w:rPr>
          <w:rFonts w:hint="eastAsia" w:ascii="方正仿宋_GB18030" w:hAnsi="方正仿宋_GB18030" w:eastAsia="方正仿宋_GB18030" w:cs="方正仿宋_GB18030"/>
          <w:b/>
          <w:bCs/>
          <w:color w:val="000000"/>
          <w:kern w:val="2"/>
          <w:sz w:val="32"/>
          <w:szCs w:val="32"/>
          <w:u w:val="none"/>
          <w:lang w:val="en-US" w:eastAsia="zh-CN" w:bidi="ar-SA"/>
        </w:rPr>
        <w:t>三、业态要求</w:t>
      </w:r>
    </w:p>
    <w:p w14:paraId="20C93613">
      <w:pPr>
        <w:pStyle w:val="4"/>
        <w:keepNext w:val="0"/>
        <w:keepLines w:val="0"/>
        <w:pageBreakBefore w:val="0"/>
        <w:widowControl w:val="0"/>
        <w:numPr>
          <w:ilvl w:val="0"/>
          <w:numId w:val="3"/>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line="560" w:lineRule="exact"/>
        <w:ind w:left="0" w:leftChars="0" w:firstLine="640" w:firstLineChars="200"/>
        <w:textAlignment w:val="auto"/>
        <w:rPr>
          <w:rFonts w:hint="eastAsia" w:ascii="方正仿宋_GB18030" w:hAnsi="方正仿宋_GB18030" w:eastAsia="方正仿宋_GB18030" w:cs="方正仿宋_GB18030"/>
          <w:color w:val="000000"/>
          <w:sz w:val="32"/>
          <w:szCs w:val="32"/>
          <w:u w:val="none"/>
        </w:rPr>
      </w:pPr>
      <w:r>
        <w:rPr>
          <w:rFonts w:hint="eastAsia" w:ascii="方正仿宋_GB18030" w:hAnsi="方正仿宋_GB18030" w:eastAsia="方正仿宋_GB18030" w:cs="方正仿宋_GB18030"/>
          <w:color w:val="000000"/>
          <w:sz w:val="32"/>
          <w:szCs w:val="32"/>
          <w:u w:val="none"/>
        </w:rPr>
        <w:t xml:space="preserve">经营业态为休闲茶饮及轻食等配套服务，承租人应提供与该区域环境相适应的有特色的休闲茶饮及轻食等配套服务，使游客味觉、视觉融为一体，提升游客游园体验。 </w:t>
      </w:r>
    </w:p>
    <w:p w14:paraId="6058E8DD">
      <w:pPr>
        <w:pStyle w:val="4"/>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line="560" w:lineRule="exact"/>
        <w:ind w:left="0" w:leftChars="0" w:firstLine="640" w:firstLineChars="200"/>
        <w:textAlignment w:val="auto"/>
        <w:rPr>
          <w:rFonts w:hint="eastAsia" w:ascii="方正仿宋_GB18030" w:hAnsi="方正仿宋_GB18030" w:eastAsia="方正仿宋_GB18030" w:cs="方正仿宋_GB18030"/>
          <w:color w:val="000000"/>
          <w:sz w:val="32"/>
          <w:szCs w:val="32"/>
          <w:u w:val="none"/>
        </w:rPr>
      </w:pPr>
      <w:r>
        <w:rPr>
          <w:rFonts w:hint="eastAsia" w:ascii="方正仿宋_GB18030" w:hAnsi="方正仿宋_GB18030" w:eastAsia="方正仿宋_GB18030" w:cs="方正仿宋_GB18030"/>
          <w:color w:val="000000"/>
          <w:sz w:val="32"/>
          <w:szCs w:val="32"/>
          <w:u w:val="none"/>
        </w:rPr>
        <w:t>(2) 此经营区域为天鹅湖旁、黑白疣猴笼舍对面，为打造区域内统一氛围，整个店面应与该区域氛围统一、风格相似，以提高动物园区域化、模块化程度，提升游客沉浸度、满意度。</w:t>
      </w:r>
    </w:p>
    <w:bookmarkEnd w:id="0"/>
    <w:p w14:paraId="55981154">
      <w:pPr>
        <w:pStyle w:val="3"/>
        <w:keepNext/>
        <w:keepLines/>
        <w:pageBreakBefore w:val="0"/>
        <w:widowControl w:val="0"/>
        <w:kinsoku/>
        <w:wordWrap/>
        <w:overflowPunct/>
        <w:topLinePunct w:val="0"/>
        <w:autoSpaceDE/>
        <w:autoSpaceDN/>
        <w:bidi w:val="0"/>
        <w:adjustRightInd/>
        <w:snapToGrid/>
        <w:spacing w:before="0" w:after="0" w:line="560" w:lineRule="exact"/>
        <w:ind w:firstLine="641" w:firstLineChars="200"/>
        <w:jc w:val="left"/>
        <w:textAlignment w:val="auto"/>
        <w:rPr>
          <w:rFonts w:hint="eastAsia" w:ascii="方正仿宋_GB18030" w:hAnsi="方正仿宋_GB18030" w:eastAsia="方正仿宋_GB18030" w:cs="方正仿宋_GB18030"/>
          <w:color w:val="auto"/>
          <w:sz w:val="32"/>
          <w:szCs w:val="32"/>
          <w:highlight w:val="none"/>
          <w:lang w:eastAsia="zh-CN"/>
        </w:rPr>
      </w:pPr>
      <w:bookmarkStart w:id="1" w:name="_Toc19693"/>
      <w:bookmarkStart w:id="2" w:name="_Toc1651925726"/>
      <w:r>
        <w:rPr>
          <w:rFonts w:hint="eastAsia" w:ascii="方正仿宋_GB18030" w:hAnsi="方正仿宋_GB18030" w:eastAsia="方正仿宋_GB18030" w:cs="方正仿宋_GB18030"/>
          <w:color w:val="auto"/>
          <w:sz w:val="32"/>
          <w:szCs w:val="32"/>
          <w:highlight w:val="none"/>
          <w:lang w:val="en-US" w:eastAsia="zh-CN"/>
        </w:rPr>
        <w:t>四</w:t>
      </w:r>
      <w:r>
        <w:rPr>
          <w:rFonts w:hint="eastAsia" w:ascii="方正仿宋_GB18030" w:hAnsi="方正仿宋_GB18030" w:eastAsia="方正仿宋_GB18030" w:cs="方正仿宋_GB18030"/>
          <w:color w:val="auto"/>
          <w:sz w:val="32"/>
          <w:szCs w:val="32"/>
          <w:highlight w:val="none"/>
          <w:lang w:eastAsia="zh-CN"/>
        </w:rPr>
        <w:t>、</w:t>
      </w:r>
      <w:r>
        <w:rPr>
          <w:rFonts w:hint="eastAsia" w:ascii="方正仿宋_GB18030" w:hAnsi="方正仿宋_GB18030" w:eastAsia="方正仿宋_GB18030" w:cs="方正仿宋_GB18030"/>
          <w:color w:val="auto"/>
          <w:sz w:val="32"/>
          <w:szCs w:val="32"/>
          <w:highlight w:val="none"/>
          <w:lang w:val="en-US" w:eastAsia="zh-CN"/>
        </w:rPr>
        <w:t>承租</w:t>
      </w:r>
      <w:r>
        <w:rPr>
          <w:rFonts w:hint="eastAsia" w:ascii="方正仿宋_GB18030" w:hAnsi="方正仿宋_GB18030" w:eastAsia="方正仿宋_GB18030" w:cs="方正仿宋_GB18030"/>
          <w:color w:val="auto"/>
          <w:sz w:val="32"/>
          <w:szCs w:val="32"/>
          <w:highlight w:val="none"/>
          <w:lang w:eastAsia="zh-CN"/>
        </w:rPr>
        <w:t>人的资格要求</w:t>
      </w:r>
      <w:bookmarkEnd w:id="1"/>
      <w:bookmarkEnd w:id="2"/>
    </w:p>
    <w:p w14:paraId="1FD70D7D">
      <w:pPr>
        <w:keepNext w:val="0"/>
        <w:keepLines w:val="0"/>
        <w:pageBreakBefore w:val="0"/>
        <w:widowControl w:val="0"/>
        <w:kinsoku/>
        <w:wordWrap w:val="0"/>
        <w:overflowPunct/>
        <w:topLinePunct w:val="0"/>
        <w:autoSpaceDE/>
        <w:autoSpaceDN/>
        <w:bidi w:val="0"/>
        <w:adjustRightInd/>
        <w:snapToGrid/>
        <w:spacing w:after="0" w:line="560" w:lineRule="exact"/>
        <w:ind w:firstLine="640" w:firstLineChars="200"/>
        <w:textAlignment w:val="auto"/>
        <w:rPr>
          <w:rFonts w:hint="eastAsia" w:ascii="方正仿宋_GB18030" w:hAnsi="方正仿宋_GB18030" w:eastAsia="方正仿宋_GB18030" w:cs="方正仿宋_GB18030"/>
          <w:b w:val="0"/>
          <w:bCs w:val="0"/>
          <w:color w:val="auto"/>
          <w:sz w:val="32"/>
          <w:szCs w:val="32"/>
          <w:highlight w:val="none"/>
          <w:lang w:eastAsia="zh-CN"/>
        </w:rPr>
      </w:pPr>
      <w:r>
        <w:rPr>
          <w:rFonts w:hint="eastAsia" w:ascii="方正仿宋_GB18030" w:hAnsi="方正仿宋_GB18030" w:eastAsia="方正仿宋_GB18030" w:cs="方正仿宋_GB18030"/>
          <w:b w:val="0"/>
          <w:bCs w:val="0"/>
          <w:color w:val="auto"/>
          <w:sz w:val="32"/>
          <w:szCs w:val="32"/>
          <w:highlight w:val="none"/>
          <w:lang w:val="en-US" w:eastAsia="zh-CN"/>
        </w:rPr>
        <w:t>1、</w:t>
      </w:r>
      <w:r>
        <w:rPr>
          <w:rFonts w:hint="eastAsia" w:ascii="方正仿宋_GB18030" w:hAnsi="方正仿宋_GB18030" w:eastAsia="方正仿宋_GB18030" w:cs="方正仿宋_GB18030"/>
          <w:b w:val="0"/>
          <w:bCs w:val="0"/>
          <w:color w:val="auto"/>
          <w:sz w:val="32"/>
          <w:szCs w:val="32"/>
          <w:highlight w:val="none"/>
        </w:rPr>
        <w:t>具有独立承担民事责任的能力</w:t>
      </w:r>
      <w:r>
        <w:rPr>
          <w:rFonts w:hint="eastAsia" w:ascii="方正仿宋_GB18030" w:hAnsi="方正仿宋_GB18030" w:eastAsia="方正仿宋_GB18030" w:cs="方正仿宋_GB18030"/>
          <w:b w:val="0"/>
          <w:bCs w:val="0"/>
          <w:color w:val="auto"/>
          <w:sz w:val="32"/>
          <w:szCs w:val="32"/>
          <w:highlight w:val="none"/>
          <w:lang w:eastAsia="zh-CN"/>
        </w:rPr>
        <w:t>；</w:t>
      </w:r>
    </w:p>
    <w:p w14:paraId="7294F493">
      <w:pPr>
        <w:keepNext w:val="0"/>
        <w:keepLines w:val="0"/>
        <w:pageBreakBefore w:val="0"/>
        <w:widowControl w:val="0"/>
        <w:kinsoku/>
        <w:wordWrap w:val="0"/>
        <w:overflowPunct/>
        <w:topLinePunct w:val="0"/>
        <w:autoSpaceDE/>
        <w:autoSpaceDN/>
        <w:bidi w:val="0"/>
        <w:adjustRightInd/>
        <w:snapToGrid/>
        <w:spacing w:after="0" w:line="560" w:lineRule="exact"/>
        <w:ind w:firstLine="640" w:firstLineChars="200"/>
        <w:textAlignment w:val="auto"/>
        <w:rPr>
          <w:rFonts w:hint="eastAsia" w:ascii="方正仿宋_GB18030" w:hAnsi="方正仿宋_GB18030" w:eastAsia="方正仿宋_GB18030" w:cs="方正仿宋_GB18030"/>
          <w:b w:val="0"/>
          <w:bCs w:val="0"/>
          <w:color w:val="auto"/>
          <w:sz w:val="32"/>
          <w:szCs w:val="32"/>
          <w:highlight w:val="none"/>
          <w:lang w:eastAsia="zh-CN"/>
        </w:rPr>
      </w:pPr>
      <w:r>
        <w:rPr>
          <w:rFonts w:hint="eastAsia" w:ascii="方正仿宋_GB18030" w:hAnsi="方正仿宋_GB18030" w:eastAsia="方正仿宋_GB18030" w:cs="方正仿宋_GB18030"/>
          <w:b w:val="0"/>
          <w:bCs w:val="0"/>
          <w:color w:val="auto"/>
          <w:sz w:val="32"/>
          <w:szCs w:val="32"/>
          <w:highlight w:val="none"/>
          <w:lang w:val="en-US" w:eastAsia="zh-CN"/>
        </w:rPr>
        <w:t>2、</w:t>
      </w:r>
      <w:r>
        <w:rPr>
          <w:rFonts w:hint="eastAsia" w:ascii="方正仿宋_GB18030" w:hAnsi="方正仿宋_GB18030" w:eastAsia="方正仿宋_GB18030" w:cs="方正仿宋_GB18030"/>
          <w:b w:val="0"/>
          <w:bCs w:val="0"/>
          <w:color w:val="auto"/>
          <w:sz w:val="32"/>
          <w:szCs w:val="32"/>
          <w:highlight w:val="none"/>
        </w:rPr>
        <w:t>具有良好的商业信誉和健全的财务会计制度</w:t>
      </w:r>
      <w:r>
        <w:rPr>
          <w:rFonts w:hint="eastAsia" w:ascii="方正仿宋_GB18030" w:hAnsi="方正仿宋_GB18030" w:eastAsia="方正仿宋_GB18030" w:cs="方正仿宋_GB18030"/>
          <w:b w:val="0"/>
          <w:bCs w:val="0"/>
          <w:color w:val="auto"/>
          <w:sz w:val="32"/>
          <w:szCs w:val="32"/>
          <w:highlight w:val="none"/>
          <w:lang w:eastAsia="zh-CN"/>
        </w:rPr>
        <w:t>；</w:t>
      </w:r>
    </w:p>
    <w:p w14:paraId="08B7B154">
      <w:pPr>
        <w:keepNext w:val="0"/>
        <w:keepLines w:val="0"/>
        <w:pageBreakBefore w:val="0"/>
        <w:widowControl w:val="0"/>
        <w:kinsoku/>
        <w:wordWrap w:val="0"/>
        <w:overflowPunct/>
        <w:topLinePunct w:val="0"/>
        <w:autoSpaceDE/>
        <w:autoSpaceDN/>
        <w:bidi w:val="0"/>
        <w:adjustRightInd/>
        <w:snapToGrid/>
        <w:spacing w:after="0" w:line="560" w:lineRule="exact"/>
        <w:ind w:firstLine="640" w:firstLineChars="200"/>
        <w:textAlignment w:val="auto"/>
        <w:rPr>
          <w:rFonts w:hint="eastAsia" w:ascii="方正仿宋_GB18030" w:hAnsi="方正仿宋_GB18030" w:eastAsia="方正仿宋_GB18030" w:cs="方正仿宋_GB18030"/>
          <w:b w:val="0"/>
          <w:bCs w:val="0"/>
          <w:color w:val="auto"/>
          <w:sz w:val="32"/>
          <w:szCs w:val="32"/>
          <w:highlight w:val="none"/>
          <w:lang w:eastAsia="zh-CN"/>
        </w:rPr>
      </w:pPr>
      <w:r>
        <w:rPr>
          <w:rFonts w:hint="eastAsia" w:ascii="方正仿宋_GB18030" w:hAnsi="方正仿宋_GB18030" w:eastAsia="方正仿宋_GB18030" w:cs="方正仿宋_GB18030"/>
          <w:b w:val="0"/>
          <w:bCs w:val="0"/>
          <w:color w:val="auto"/>
          <w:sz w:val="32"/>
          <w:szCs w:val="32"/>
          <w:highlight w:val="none"/>
          <w:lang w:val="en-US" w:eastAsia="zh-CN"/>
        </w:rPr>
        <w:t>3、</w:t>
      </w:r>
      <w:r>
        <w:rPr>
          <w:rFonts w:hint="eastAsia" w:ascii="方正仿宋_GB18030" w:hAnsi="方正仿宋_GB18030" w:eastAsia="方正仿宋_GB18030" w:cs="方正仿宋_GB18030"/>
          <w:b w:val="0"/>
          <w:bCs w:val="0"/>
          <w:color w:val="auto"/>
          <w:sz w:val="32"/>
          <w:szCs w:val="32"/>
          <w:highlight w:val="none"/>
        </w:rPr>
        <w:t>具有履行合同所必需的设备和专业技术能力</w:t>
      </w:r>
      <w:r>
        <w:rPr>
          <w:rFonts w:hint="eastAsia" w:ascii="方正仿宋_GB18030" w:hAnsi="方正仿宋_GB18030" w:eastAsia="方正仿宋_GB18030" w:cs="方正仿宋_GB18030"/>
          <w:b w:val="0"/>
          <w:bCs w:val="0"/>
          <w:color w:val="auto"/>
          <w:sz w:val="32"/>
          <w:szCs w:val="32"/>
          <w:highlight w:val="none"/>
          <w:lang w:eastAsia="zh-CN"/>
        </w:rPr>
        <w:t>；</w:t>
      </w:r>
    </w:p>
    <w:p w14:paraId="283B6822">
      <w:pPr>
        <w:keepNext w:val="0"/>
        <w:keepLines w:val="0"/>
        <w:pageBreakBefore w:val="0"/>
        <w:widowControl w:val="0"/>
        <w:kinsoku/>
        <w:wordWrap w:val="0"/>
        <w:overflowPunct/>
        <w:topLinePunct w:val="0"/>
        <w:autoSpaceDE/>
        <w:autoSpaceDN/>
        <w:bidi w:val="0"/>
        <w:adjustRightInd/>
        <w:snapToGrid/>
        <w:spacing w:after="0" w:line="560" w:lineRule="exact"/>
        <w:ind w:firstLine="640" w:firstLineChars="200"/>
        <w:textAlignment w:val="auto"/>
        <w:rPr>
          <w:rFonts w:hint="eastAsia" w:ascii="方正仿宋_GB18030" w:hAnsi="方正仿宋_GB18030" w:eastAsia="方正仿宋_GB18030" w:cs="方正仿宋_GB18030"/>
          <w:b w:val="0"/>
          <w:bCs w:val="0"/>
          <w:color w:val="auto"/>
          <w:sz w:val="32"/>
          <w:szCs w:val="32"/>
          <w:highlight w:val="none"/>
          <w:lang w:eastAsia="zh-CN"/>
        </w:rPr>
      </w:pPr>
      <w:r>
        <w:rPr>
          <w:rFonts w:hint="eastAsia" w:ascii="方正仿宋_GB18030" w:hAnsi="方正仿宋_GB18030" w:eastAsia="方正仿宋_GB18030" w:cs="方正仿宋_GB18030"/>
          <w:b w:val="0"/>
          <w:bCs w:val="0"/>
          <w:color w:val="auto"/>
          <w:sz w:val="32"/>
          <w:szCs w:val="32"/>
          <w:highlight w:val="none"/>
          <w:lang w:val="en-US" w:eastAsia="zh-CN"/>
        </w:rPr>
        <w:t>4、</w:t>
      </w:r>
      <w:r>
        <w:rPr>
          <w:rFonts w:hint="eastAsia" w:ascii="方正仿宋_GB18030" w:hAnsi="方正仿宋_GB18030" w:eastAsia="方正仿宋_GB18030" w:cs="方正仿宋_GB18030"/>
          <w:b w:val="0"/>
          <w:bCs w:val="0"/>
          <w:color w:val="auto"/>
          <w:sz w:val="32"/>
          <w:szCs w:val="32"/>
          <w:highlight w:val="none"/>
        </w:rPr>
        <w:t>有依法缴纳税收和社会保障资金的良好记录</w:t>
      </w:r>
      <w:r>
        <w:rPr>
          <w:rFonts w:hint="eastAsia" w:ascii="方正仿宋_GB18030" w:hAnsi="方正仿宋_GB18030" w:eastAsia="方正仿宋_GB18030" w:cs="方正仿宋_GB18030"/>
          <w:b w:val="0"/>
          <w:bCs w:val="0"/>
          <w:color w:val="auto"/>
          <w:sz w:val="32"/>
          <w:szCs w:val="32"/>
          <w:highlight w:val="none"/>
          <w:lang w:eastAsia="zh-CN"/>
        </w:rPr>
        <w:t>；</w:t>
      </w:r>
    </w:p>
    <w:p w14:paraId="775A638C">
      <w:pPr>
        <w:keepNext w:val="0"/>
        <w:keepLines w:val="0"/>
        <w:pageBreakBefore w:val="0"/>
        <w:widowControl w:val="0"/>
        <w:kinsoku/>
        <w:wordWrap w:val="0"/>
        <w:overflowPunct/>
        <w:topLinePunct w:val="0"/>
        <w:autoSpaceDE/>
        <w:autoSpaceDN/>
        <w:bidi w:val="0"/>
        <w:adjustRightInd/>
        <w:snapToGrid/>
        <w:spacing w:after="0" w:line="560" w:lineRule="exact"/>
        <w:ind w:firstLine="640" w:firstLineChars="200"/>
        <w:textAlignment w:val="auto"/>
        <w:rPr>
          <w:rFonts w:hint="eastAsia" w:ascii="方正仿宋_GB18030" w:hAnsi="方正仿宋_GB18030" w:eastAsia="方正仿宋_GB18030" w:cs="方正仿宋_GB18030"/>
          <w:b w:val="0"/>
          <w:bCs w:val="0"/>
          <w:color w:val="auto"/>
          <w:sz w:val="32"/>
          <w:szCs w:val="32"/>
          <w:highlight w:val="none"/>
          <w:lang w:eastAsia="zh-CN"/>
        </w:rPr>
      </w:pPr>
      <w:r>
        <w:rPr>
          <w:rFonts w:hint="eastAsia" w:ascii="方正仿宋_GB18030" w:hAnsi="方正仿宋_GB18030" w:eastAsia="方正仿宋_GB18030" w:cs="方正仿宋_GB18030"/>
          <w:b w:val="0"/>
          <w:bCs w:val="0"/>
          <w:color w:val="auto"/>
          <w:sz w:val="32"/>
          <w:szCs w:val="32"/>
          <w:highlight w:val="none"/>
          <w:lang w:val="en-US" w:eastAsia="zh-CN"/>
        </w:rPr>
        <w:t>5、</w:t>
      </w:r>
      <w:r>
        <w:rPr>
          <w:rFonts w:hint="eastAsia" w:ascii="方正仿宋_GB18030" w:hAnsi="方正仿宋_GB18030" w:eastAsia="方正仿宋_GB18030" w:cs="方正仿宋_GB18030"/>
          <w:b w:val="0"/>
          <w:bCs w:val="0"/>
          <w:color w:val="auto"/>
          <w:sz w:val="32"/>
          <w:szCs w:val="32"/>
          <w:highlight w:val="none"/>
        </w:rPr>
        <w:t>参加政府采购活动前三年内，在经营活动中没有重大违法记录</w:t>
      </w:r>
      <w:r>
        <w:rPr>
          <w:rFonts w:hint="eastAsia" w:ascii="方正仿宋_GB18030" w:hAnsi="方正仿宋_GB18030" w:eastAsia="方正仿宋_GB18030" w:cs="方正仿宋_GB18030"/>
          <w:b w:val="0"/>
          <w:bCs w:val="0"/>
          <w:color w:val="auto"/>
          <w:sz w:val="32"/>
          <w:szCs w:val="32"/>
          <w:highlight w:val="none"/>
          <w:lang w:eastAsia="zh-CN"/>
        </w:rPr>
        <w:t>；</w:t>
      </w:r>
    </w:p>
    <w:p w14:paraId="59BF466D">
      <w:pPr>
        <w:keepNext w:val="0"/>
        <w:keepLines w:val="0"/>
        <w:pageBreakBefore w:val="0"/>
        <w:widowControl w:val="0"/>
        <w:kinsoku/>
        <w:wordWrap w:val="0"/>
        <w:overflowPunct/>
        <w:topLinePunct w:val="0"/>
        <w:autoSpaceDE/>
        <w:autoSpaceDN/>
        <w:bidi w:val="0"/>
        <w:adjustRightInd/>
        <w:snapToGrid/>
        <w:spacing w:after="0" w:line="560" w:lineRule="exact"/>
        <w:ind w:firstLine="640" w:firstLineChars="200"/>
        <w:textAlignment w:val="auto"/>
        <w:rPr>
          <w:rFonts w:hint="eastAsia" w:ascii="方正仿宋_GB18030" w:hAnsi="方正仿宋_GB18030" w:eastAsia="方正仿宋_GB18030" w:cs="方正仿宋_GB18030"/>
          <w:b w:val="0"/>
          <w:bCs w:val="0"/>
          <w:color w:val="auto"/>
          <w:sz w:val="32"/>
          <w:szCs w:val="32"/>
          <w:highlight w:val="none"/>
        </w:rPr>
      </w:pPr>
      <w:r>
        <w:rPr>
          <w:rFonts w:hint="eastAsia" w:ascii="方正仿宋_GB18030" w:hAnsi="方正仿宋_GB18030" w:eastAsia="方正仿宋_GB18030" w:cs="方正仿宋_GB18030"/>
          <w:b w:val="0"/>
          <w:bCs w:val="0"/>
          <w:color w:val="auto"/>
          <w:sz w:val="32"/>
          <w:szCs w:val="32"/>
          <w:highlight w:val="none"/>
          <w:lang w:val="en-US" w:eastAsia="zh-CN"/>
        </w:rPr>
        <w:t>6、</w:t>
      </w:r>
      <w:r>
        <w:rPr>
          <w:rFonts w:hint="eastAsia" w:ascii="方正仿宋_GB18030" w:hAnsi="方正仿宋_GB18030" w:eastAsia="方正仿宋_GB18030" w:cs="方正仿宋_GB18030"/>
          <w:b w:val="0"/>
          <w:bCs w:val="0"/>
          <w:color w:val="auto"/>
          <w:sz w:val="32"/>
          <w:szCs w:val="32"/>
          <w:highlight w:val="none"/>
        </w:rPr>
        <w:t>法律、行政法规规定的其他条件。</w:t>
      </w:r>
    </w:p>
    <w:p w14:paraId="284FED5C">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方正仿宋_GB18030" w:hAnsi="方正仿宋_GB18030" w:eastAsia="方正仿宋_GB18030" w:cs="方正仿宋_GB18030"/>
          <w:b w:val="0"/>
          <w:bCs w:val="0"/>
          <w:color w:val="auto"/>
          <w:sz w:val="32"/>
          <w:szCs w:val="32"/>
          <w:highlight w:val="none"/>
          <w:lang w:val="en-US" w:eastAsia="zh-CN"/>
        </w:rPr>
      </w:pPr>
      <w:r>
        <w:rPr>
          <w:rFonts w:hint="eastAsia" w:ascii="方正仿宋_GB18030" w:hAnsi="方正仿宋_GB18030" w:eastAsia="方正仿宋_GB18030" w:cs="方正仿宋_GB18030"/>
          <w:b w:val="0"/>
          <w:bCs w:val="0"/>
          <w:color w:val="auto"/>
          <w:sz w:val="32"/>
          <w:szCs w:val="32"/>
          <w:highlight w:val="none"/>
          <w:lang w:val="en-US" w:eastAsia="zh-CN"/>
        </w:rPr>
        <w:t>7、单位负责人为同一人或者存在直接控股、管理关系的不同投标人，不得参加本项目同一合同项下的招租活动；</w:t>
      </w:r>
    </w:p>
    <w:p w14:paraId="2D59D626">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方正仿宋_GB18030" w:hAnsi="方正仿宋_GB18030" w:eastAsia="方正仿宋_GB18030" w:cs="方正仿宋_GB18030"/>
          <w:b w:val="0"/>
          <w:bCs w:val="0"/>
          <w:color w:val="auto"/>
          <w:sz w:val="32"/>
          <w:szCs w:val="32"/>
          <w:highlight w:val="none"/>
          <w:lang w:val="en-US" w:eastAsia="zh-CN"/>
        </w:rPr>
      </w:pPr>
      <w:r>
        <w:rPr>
          <w:rFonts w:hint="eastAsia" w:ascii="方正仿宋_GB18030" w:hAnsi="方正仿宋_GB18030" w:eastAsia="方正仿宋_GB18030" w:cs="方正仿宋_GB18030"/>
          <w:b w:val="0"/>
          <w:bCs w:val="0"/>
          <w:color w:val="auto"/>
          <w:sz w:val="32"/>
          <w:szCs w:val="32"/>
          <w:highlight w:val="none"/>
          <w:lang w:val="en-US" w:eastAsia="zh-CN"/>
        </w:rPr>
        <w:t>8、为本招租项目提供整体设计、规范编制或者项目管理、监理、检测等服务的，不得再参加本项目的其他招租活动；</w:t>
      </w:r>
    </w:p>
    <w:p w14:paraId="68C1A41B">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方正仿宋_GB18030" w:hAnsi="方正仿宋_GB18030" w:eastAsia="方正仿宋_GB18030" w:cs="方正仿宋_GB18030"/>
          <w:b w:val="0"/>
          <w:bCs w:val="0"/>
          <w:color w:val="auto"/>
          <w:sz w:val="32"/>
          <w:szCs w:val="32"/>
          <w:highlight w:val="none"/>
          <w:lang w:val="en-US" w:eastAsia="zh-CN"/>
        </w:rPr>
      </w:pPr>
      <w:r>
        <w:rPr>
          <w:rFonts w:hint="eastAsia" w:ascii="方正仿宋_GB18030" w:hAnsi="方正仿宋_GB18030" w:eastAsia="方正仿宋_GB18030" w:cs="方正仿宋_GB18030"/>
          <w:b w:val="0"/>
          <w:bCs w:val="0"/>
          <w:color w:val="auto"/>
          <w:sz w:val="32"/>
          <w:szCs w:val="32"/>
          <w:highlight w:val="none"/>
          <w:lang w:val="en-US" w:eastAsia="zh-CN"/>
        </w:rPr>
        <w:t>9、未被列入“信用中国”网站(www.creditchina.gov.cn)失信被执行人、重大税收违法失信主体、政府采购严重违法失信行为记录名单和“中国政府采购”网站（www.ccgp.gov.cn）政府采购严重违法失信行为记录名单；</w:t>
      </w:r>
    </w:p>
    <w:p w14:paraId="24E9A25F">
      <w:pPr>
        <w:keepNext w:val="0"/>
        <w:keepLines w:val="0"/>
        <w:pageBreakBefore w:val="0"/>
        <w:widowControl w:val="0"/>
        <w:kinsoku/>
        <w:wordWrap w:val="0"/>
        <w:overflowPunct/>
        <w:topLinePunct w:val="0"/>
        <w:autoSpaceDE/>
        <w:autoSpaceDN/>
        <w:bidi w:val="0"/>
        <w:adjustRightInd/>
        <w:snapToGrid/>
        <w:spacing w:after="0" w:line="560" w:lineRule="exact"/>
        <w:ind w:firstLine="640" w:firstLineChars="200"/>
        <w:textAlignment w:val="auto"/>
        <w:rPr>
          <w:rFonts w:hint="eastAsia" w:ascii="方正仿宋_GB18030" w:hAnsi="方正仿宋_GB18030" w:eastAsia="方正仿宋_GB18030" w:cs="方正仿宋_GB18030"/>
          <w:color w:val="auto"/>
          <w:sz w:val="32"/>
          <w:szCs w:val="32"/>
          <w:highlight w:val="none"/>
          <w:lang w:val="en-US" w:eastAsia="zh-CN"/>
        </w:rPr>
      </w:pPr>
      <w:r>
        <w:rPr>
          <w:rFonts w:hint="eastAsia" w:ascii="方正仿宋_GB18030" w:hAnsi="方正仿宋_GB18030" w:eastAsia="方正仿宋_GB18030" w:cs="方正仿宋_GB18030"/>
          <w:b w:val="0"/>
          <w:bCs w:val="0"/>
          <w:color w:val="auto"/>
          <w:sz w:val="32"/>
          <w:szCs w:val="32"/>
          <w:highlight w:val="none"/>
          <w:lang w:val="en-US" w:eastAsia="zh-CN"/>
        </w:rPr>
        <w:t>10、</w:t>
      </w:r>
      <w:r>
        <w:rPr>
          <w:rFonts w:hint="eastAsia" w:ascii="方正仿宋_GB18030" w:hAnsi="方正仿宋_GB18030" w:eastAsia="方正仿宋_GB18030" w:cs="方正仿宋_GB18030"/>
          <w:b w:val="0"/>
          <w:bCs w:val="0"/>
          <w:color w:val="auto"/>
          <w:sz w:val="32"/>
          <w:szCs w:val="32"/>
          <w:highlight w:val="none"/>
        </w:rPr>
        <w:t>本项目的特定资格要求：</w:t>
      </w:r>
      <w:bookmarkStart w:id="3" w:name="_Toc1247088466"/>
      <w:r>
        <w:rPr>
          <w:rFonts w:hint="eastAsia" w:ascii="方正仿宋_GB18030" w:hAnsi="方正仿宋_GB18030" w:eastAsia="方正仿宋_GB18030" w:cs="方正仿宋_GB18030"/>
          <w:b w:val="0"/>
          <w:bCs w:val="0"/>
          <w:color w:val="auto"/>
          <w:sz w:val="32"/>
          <w:szCs w:val="32"/>
          <w:highlight w:val="none"/>
          <w:lang w:val="en-US" w:eastAsia="zh-CN"/>
        </w:rPr>
        <w:t>投标人具有有效期内的《食品经营许可证》。</w:t>
      </w:r>
      <w:bookmarkEnd w:id="3"/>
    </w:p>
    <w:p w14:paraId="77421A24">
      <w:pPr>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方正仿宋_GB18030" w:hAnsi="方正仿宋_GB18030" w:eastAsia="方正仿宋_GB18030" w:cs="方正仿宋_GB18030"/>
          <w:b w:val="0"/>
          <w:bCs w:val="0"/>
          <w:color w:val="auto"/>
          <w:sz w:val="32"/>
          <w:szCs w:val="32"/>
          <w:highlight w:val="none"/>
          <w:lang w:val="en-US" w:eastAsia="zh-CN"/>
        </w:rPr>
      </w:pPr>
      <w:r>
        <w:rPr>
          <w:rFonts w:hint="eastAsia" w:ascii="方正仿宋_GB18030" w:hAnsi="方正仿宋_GB18030" w:eastAsia="方正仿宋_GB18030" w:cs="方正仿宋_GB18030"/>
          <w:color w:val="auto"/>
          <w:sz w:val="32"/>
          <w:szCs w:val="32"/>
          <w:highlight w:val="none"/>
          <w:lang w:val="en-US" w:eastAsia="zh-CN"/>
        </w:rPr>
        <w:t>欢迎商家联系商谈！</w:t>
      </w:r>
    </w:p>
    <w:p w14:paraId="37A43FFF">
      <w:pPr>
        <w:keepNext w:val="0"/>
        <w:keepLines w:val="0"/>
        <w:pageBreakBefore w:val="0"/>
        <w:widowControl w:val="0"/>
        <w:kinsoku/>
        <w:overflowPunct/>
        <w:topLinePunct w:val="0"/>
        <w:autoSpaceDE/>
        <w:autoSpaceDN/>
        <w:bidi w:val="0"/>
        <w:adjustRightInd/>
        <w:snapToGrid/>
        <w:spacing w:after="0" w:line="560" w:lineRule="exact"/>
        <w:ind w:firstLine="640" w:firstLineChars="200"/>
        <w:textAlignment w:val="auto"/>
        <w:rPr>
          <w:rFonts w:hint="eastAsia" w:ascii="方正仿宋_GB18030" w:hAnsi="方正仿宋_GB18030" w:eastAsia="方正仿宋_GB18030" w:cs="方正仿宋_GB18030"/>
          <w:bCs/>
          <w:color w:val="auto"/>
          <w:kern w:val="0"/>
          <w:sz w:val="32"/>
          <w:szCs w:val="32"/>
          <w:highlight w:val="none"/>
          <w:lang w:val="en-US" w:eastAsia="zh-CN"/>
        </w:rPr>
      </w:pPr>
      <w:r>
        <w:rPr>
          <w:rFonts w:hint="eastAsia" w:ascii="方正仿宋_GB18030" w:hAnsi="方正仿宋_GB18030" w:eastAsia="方正仿宋_GB18030" w:cs="方正仿宋_GB18030"/>
          <w:bCs/>
          <w:color w:val="auto"/>
          <w:kern w:val="0"/>
          <w:sz w:val="32"/>
          <w:szCs w:val="32"/>
          <w:highlight w:val="none"/>
          <w:lang w:val="en-US" w:eastAsia="zh-CN"/>
        </w:rPr>
        <w:t>联系方式：</w:t>
      </w:r>
    </w:p>
    <w:p w14:paraId="6D9E8CC7">
      <w:pPr>
        <w:keepNext w:val="0"/>
        <w:keepLines w:val="0"/>
        <w:pageBreakBefore w:val="0"/>
        <w:widowControl w:val="0"/>
        <w:kinsoku/>
        <w:overflowPunct/>
        <w:topLinePunct w:val="0"/>
        <w:autoSpaceDE/>
        <w:autoSpaceDN/>
        <w:bidi w:val="0"/>
        <w:adjustRightInd/>
        <w:snapToGrid/>
        <w:spacing w:after="0" w:line="560" w:lineRule="exact"/>
        <w:ind w:firstLine="640" w:firstLineChars="200"/>
        <w:textAlignment w:val="auto"/>
        <w:rPr>
          <w:rFonts w:hint="eastAsia" w:ascii="方正仿宋_GB18030" w:hAnsi="方正仿宋_GB18030" w:eastAsia="方正仿宋_GB18030" w:cs="方正仿宋_GB18030"/>
          <w:color w:val="auto"/>
          <w:sz w:val="32"/>
          <w:szCs w:val="32"/>
          <w:highlight w:val="none"/>
          <w:lang w:val="en-US" w:eastAsia="zh-CN"/>
        </w:rPr>
      </w:pPr>
      <w:r>
        <w:rPr>
          <w:rFonts w:hint="eastAsia" w:ascii="方正仿宋_GB18030" w:hAnsi="方正仿宋_GB18030" w:eastAsia="方正仿宋_GB18030" w:cs="方正仿宋_GB18030"/>
          <w:color w:val="auto"/>
          <w:sz w:val="32"/>
          <w:szCs w:val="32"/>
          <w:highlight w:val="none"/>
        </w:rPr>
        <w:t>名    称：武汉动物园（武汉市陆生野生动物收容救护中心）</w:t>
      </w:r>
    </w:p>
    <w:p w14:paraId="3598F689">
      <w:pPr>
        <w:keepNext w:val="0"/>
        <w:keepLines w:val="0"/>
        <w:pageBreakBefore w:val="0"/>
        <w:widowControl w:val="0"/>
        <w:kinsoku/>
        <w:overflowPunct/>
        <w:topLinePunct w:val="0"/>
        <w:autoSpaceDE/>
        <w:autoSpaceDN/>
        <w:bidi w:val="0"/>
        <w:adjustRightInd/>
        <w:snapToGrid/>
        <w:spacing w:after="0" w:line="560" w:lineRule="exact"/>
        <w:ind w:firstLine="640" w:firstLineChars="200"/>
        <w:textAlignment w:val="auto"/>
        <w:rPr>
          <w:rFonts w:hint="eastAsia" w:ascii="方正仿宋_GB18030" w:hAnsi="方正仿宋_GB18030" w:eastAsia="方正仿宋_GB18030" w:cs="方正仿宋_GB18030"/>
          <w:color w:val="auto"/>
          <w:sz w:val="32"/>
          <w:szCs w:val="32"/>
          <w:highlight w:val="none"/>
          <w:lang w:eastAsia="zh-CN"/>
        </w:rPr>
      </w:pPr>
      <w:r>
        <w:rPr>
          <w:rFonts w:hint="eastAsia" w:ascii="方正仿宋_GB18030" w:hAnsi="方正仿宋_GB18030" w:eastAsia="方正仿宋_GB18030" w:cs="方正仿宋_GB18030"/>
          <w:color w:val="auto"/>
          <w:sz w:val="32"/>
          <w:szCs w:val="32"/>
          <w:highlight w:val="none"/>
        </w:rPr>
        <w:t>地    址：武汉市汉阳区动物园路60号</w:t>
      </w:r>
    </w:p>
    <w:p w14:paraId="0D5BEE0D">
      <w:pPr>
        <w:keepNext w:val="0"/>
        <w:keepLines w:val="0"/>
        <w:pageBreakBefore w:val="0"/>
        <w:widowControl w:val="0"/>
        <w:kinsoku/>
        <w:overflowPunct/>
        <w:topLinePunct w:val="0"/>
        <w:autoSpaceDE/>
        <w:autoSpaceDN/>
        <w:bidi w:val="0"/>
        <w:adjustRightInd/>
        <w:snapToGrid/>
        <w:spacing w:after="0" w:line="560" w:lineRule="exact"/>
        <w:ind w:firstLine="640" w:firstLineChars="200"/>
        <w:textAlignment w:val="auto"/>
        <w:rPr>
          <w:rFonts w:hint="eastAsia" w:ascii="方正仿宋_GB18030" w:hAnsi="方正仿宋_GB18030" w:eastAsia="方正仿宋_GB18030" w:cs="方正仿宋_GB18030"/>
          <w:color w:val="auto"/>
          <w:sz w:val="32"/>
          <w:szCs w:val="32"/>
          <w:highlight w:val="none"/>
          <w:lang w:val="en-US" w:eastAsia="zh-CN"/>
        </w:rPr>
      </w:pPr>
      <w:r>
        <w:rPr>
          <w:rFonts w:hint="eastAsia" w:ascii="方正仿宋_GB18030" w:hAnsi="方正仿宋_GB18030" w:eastAsia="方正仿宋_GB18030" w:cs="方正仿宋_GB18030"/>
          <w:color w:val="auto"/>
          <w:sz w:val="32"/>
          <w:szCs w:val="32"/>
          <w:highlight w:val="none"/>
        </w:rPr>
        <w:t>联系方式：</w:t>
      </w:r>
      <w:r>
        <w:rPr>
          <w:rFonts w:hint="eastAsia" w:ascii="方正仿宋_GB18030" w:hAnsi="方正仿宋_GB18030" w:eastAsia="方正仿宋_GB18030" w:cs="方正仿宋_GB18030"/>
          <w:color w:val="auto"/>
          <w:sz w:val="32"/>
          <w:szCs w:val="32"/>
          <w:highlight w:val="none"/>
          <w:lang w:val="en-US" w:eastAsia="zh-CN"/>
        </w:rPr>
        <w:t>13871243322   李部长</w:t>
      </w:r>
    </w:p>
    <w:p w14:paraId="09B33ACA">
      <w:pPr>
        <w:keepNext w:val="0"/>
        <w:keepLines w:val="0"/>
        <w:pageBreakBefore w:val="0"/>
        <w:widowControl w:val="0"/>
        <w:kinsoku/>
        <w:overflowPunct/>
        <w:topLinePunct w:val="0"/>
        <w:autoSpaceDE/>
        <w:autoSpaceDN/>
        <w:bidi w:val="0"/>
        <w:adjustRightInd/>
        <w:snapToGrid/>
        <w:spacing w:after="0" w:line="560" w:lineRule="exact"/>
        <w:ind w:firstLine="640" w:firstLineChars="200"/>
        <w:textAlignment w:val="auto"/>
        <w:rPr>
          <w:rFonts w:hint="eastAsia" w:ascii="方正仿宋_GB18030" w:hAnsi="方正仿宋_GB18030" w:eastAsia="方正仿宋_GB18030" w:cs="方正仿宋_GB18030"/>
          <w:color w:val="auto"/>
          <w:sz w:val="32"/>
          <w:szCs w:val="32"/>
          <w:highlight w:val="none"/>
          <w:lang w:val="en-US" w:eastAsia="zh-CN"/>
        </w:rPr>
      </w:pPr>
    </w:p>
    <w:p w14:paraId="25006816">
      <w:pPr>
        <w:pageBreakBefore w:val="0"/>
        <w:widowControl/>
        <w:kinsoku/>
        <w:wordWrap/>
        <w:overflowPunct/>
        <w:topLinePunct w:val="0"/>
        <w:autoSpaceDE/>
        <w:autoSpaceDN/>
        <w:bidi w:val="0"/>
        <w:adjustRightInd/>
        <w:snapToGrid/>
        <w:spacing w:before="480" w:line="560" w:lineRule="exact"/>
        <w:jc w:val="right"/>
        <w:textAlignment w:val="auto"/>
        <w:rPr>
          <w:rFonts w:hint="eastAsia" w:ascii="方正仿宋_GB18030" w:hAnsi="方正仿宋_GB18030" w:eastAsia="方正仿宋_GB18030" w:cs="方正仿宋_GB18030"/>
          <w:color w:val="auto"/>
          <w:sz w:val="32"/>
          <w:szCs w:val="32"/>
        </w:rPr>
      </w:pPr>
      <w:r>
        <w:rPr>
          <w:rFonts w:hint="eastAsia" w:ascii="方正仿宋_GB18030" w:hAnsi="方正仿宋_GB18030" w:eastAsia="方正仿宋_GB18030" w:cs="方正仿宋_GB18030"/>
          <w:color w:val="auto"/>
          <w:sz w:val="32"/>
          <w:szCs w:val="32"/>
        </w:rPr>
        <w:t>武汉动物园（武汉市陆生野生动物收容救护中心）</w:t>
      </w:r>
    </w:p>
    <w:p w14:paraId="0F9D8FD8">
      <w:pPr>
        <w:pageBreakBefore w:val="0"/>
        <w:widowControl/>
        <w:kinsoku/>
        <w:wordWrap/>
        <w:overflowPunct/>
        <w:topLinePunct w:val="0"/>
        <w:autoSpaceDE/>
        <w:autoSpaceDN/>
        <w:bidi w:val="0"/>
        <w:adjustRightInd/>
        <w:snapToGrid/>
        <w:spacing w:before="480" w:line="560" w:lineRule="exact"/>
        <w:jc w:val="left"/>
        <w:textAlignment w:val="auto"/>
        <w:rPr>
          <w:rFonts w:hint="eastAsia" w:ascii="方正仿宋_GB18030" w:hAnsi="方正仿宋_GB18030" w:eastAsia="方正仿宋_GB18030" w:cs="方正仿宋_GB18030"/>
          <w:color w:val="auto"/>
          <w:sz w:val="32"/>
          <w:szCs w:val="32"/>
        </w:rPr>
      </w:pPr>
      <w:r>
        <w:rPr>
          <w:rFonts w:hint="eastAsia" w:ascii="方正仿宋_GB18030" w:hAnsi="方正仿宋_GB18030" w:eastAsia="方正仿宋_GB18030" w:cs="方正仿宋_GB18030"/>
          <w:color w:val="auto"/>
          <w:sz w:val="32"/>
          <w:szCs w:val="32"/>
        </w:rPr>
        <w:t>　　　</w:t>
      </w:r>
      <w:r>
        <w:rPr>
          <w:rFonts w:hint="eastAsia" w:ascii="方正仿宋_GB18030" w:hAnsi="方正仿宋_GB18030" w:eastAsia="方正仿宋_GB18030" w:cs="方正仿宋_GB18030"/>
          <w:color w:val="auto"/>
          <w:sz w:val="32"/>
          <w:szCs w:val="32"/>
          <w:lang w:val="en-US" w:eastAsia="zh-CN"/>
        </w:rPr>
        <w:t xml:space="preserve">                        </w:t>
      </w:r>
      <w:bookmarkStart w:id="4" w:name="_GoBack"/>
      <w:bookmarkEnd w:id="4"/>
      <w:r>
        <w:rPr>
          <w:rFonts w:hint="eastAsia" w:ascii="方正仿宋_GB18030" w:hAnsi="方正仿宋_GB18030" w:eastAsia="方正仿宋_GB18030" w:cs="方正仿宋_GB18030"/>
          <w:color w:val="auto"/>
          <w:sz w:val="32"/>
          <w:szCs w:val="32"/>
          <w:lang w:val="en-US" w:eastAsia="zh-CN"/>
        </w:rPr>
        <w:t xml:space="preserve"> </w:t>
      </w:r>
      <w:r>
        <w:rPr>
          <w:rFonts w:hint="eastAsia" w:ascii="方正仿宋_GB18030" w:hAnsi="方正仿宋_GB18030" w:eastAsia="方正仿宋_GB18030" w:cs="方正仿宋_GB18030"/>
          <w:color w:val="auto"/>
          <w:sz w:val="32"/>
          <w:szCs w:val="32"/>
        </w:rPr>
        <w:t>年　　月　　日</w:t>
      </w:r>
    </w:p>
    <w:p w14:paraId="5392EC83">
      <w:pPr>
        <w:rPr>
          <w:sz w:val="28"/>
          <w:szCs w:val="28"/>
        </w:rPr>
      </w:pPr>
    </w:p>
    <w:sectPr>
      <w:pgSz w:w="11906" w:h="16838"/>
      <w:pgMar w:top="1157" w:right="1463" w:bottom="1157"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20A369A-F5B8-48FD-AA0F-36077EF4B634}"/>
  </w:font>
  <w:font w:name="方正仿宋_GB18030">
    <w:panose1 w:val="02000000000000000000"/>
    <w:charset w:val="86"/>
    <w:family w:val="auto"/>
    <w:pitch w:val="default"/>
    <w:sig w:usb0="00000001" w:usb1="08000000" w:usb2="00000000" w:usb3="00000000" w:csb0="00040000" w:csb1="00000000"/>
    <w:embedRegular r:id="rId2" w:fontKey="{0A708191-4C1D-4FC0-AB50-67D2627DF51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44D4AD"/>
    <w:multiLevelType w:val="singleLevel"/>
    <w:tmpl w:val="C944D4AD"/>
    <w:lvl w:ilvl="0" w:tentative="0">
      <w:start w:val="1"/>
      <w:numFmt w:val="chineseCounting"/>
      <w:suff w:val="nothing"/>
      <w:lvlText w:val="%1、"/>
      <w:lvlJc w:val="left"/>
      <w:rPr>
        <w:rFonts w:hint="eastAsia"/>
      </w:rPr>
    </w:lvl>
  </w:abstractNum>
  <w:abstractNum w:abstractNumId="1">
    <w:nsid w:val="F2AE1A48"/>
    <w:multiLevelType w:val="singleLevel"/>
    <w:tmpl w:val="F2AE1A48"/>
    <w:lvl w:ilvl="0" w:tentative="0">
      <w:start w:val="1"/>
      <w:numFmt w:val="decimal"/>
      <w:suff w:val="space"/>
      <w:lvlText w:val="(%1)"/>
      <w:lvlJc w:val="left"/>
    </w:lvl>
  </w:abstractNum>
  <w:abstractNum w:abstractNumId="2">
    <w:nsid w:val="0000000C"/>
    <w:multiLevelType w:val="multilevel"/>
    <w:tmpl w:val="0000000C"/>
    <w:lvl w:ilvl="0" w:tentative="0">
      <w:start w:val="1"/>
      <w:numFmt w:val="japaneseCounting"/>
      <w:pStyle w:val="2"/>
      <w:lvlText w:val="第%1章"/>
      <w:lvlJc w:val="left"/>
      <w:pPr>
        <w:tabs>
          <w:tab w:val="left" w:pos="1200"/>
        </w:tabs>
        <w:ind w:left="1200" w:hanging="120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7C0977"/>
    <w:rsid w:val="02C8548C"/>
    <w:rsid w:val="04163446"/>
    <w:rsid w:val="059B1039"/>
    <w:rsid w:val="0D041E6A"/>
    <w:rsid w:val="0D0C188A"/>
    <w:rsid w:val="111A6CB5"/>
    <w:rsid w:val="14A9725A"/>
    <w:rsid w:val="17562080"/>
    <w:rsid w:val="1E164317"/>
    <w:rsid w:val="227C0977"/>
    <w:rsid w:val="25AB4D1A"/>
    <w:rsid w:val="2DA85863"/>
    <w:rsid w:val="352769B2"/>
    <w:rsid w:val="47C77051"/>
    <w:rsid w:val="48FA645F"/>
    <w:rsid w:val="51E23F34"/>
    <w:rsid w:val="569E150B"/>
    <w:rsid w:val="5BAC435C"/>
    <w:rsid w:val="5E420235"/>
    <w:rsid w:val="63DF02D4"/>
    <w:rsid w:val="707B7D3B"/>
    <w:rsid w:val="7574119E"/>
    <w:rsid w:val="78D70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qFormat/>
    <w:uiPriority w:val="0"/>
    <w:pPr>
      <w:keepNext/>
      <w:keepLines/>
      <w:numPr>
        <w:ilvl w:val="0"/>
        <w:numId w:val="1"/>
      </w:numPr>
      <w:spacing w:before="340" w:after="330" w:line="576" w:lineRule="auto"/>
      <w:jc w:val="center"/>
      <w:outlineLvl w:val="0"/>
    </w:pPr>
    <w:rPr>
      <w:rFonts w:eastAsia="黑体"/>
      <w:b/>
      <w:kern w:val="44"/>
      <w:sz w:val="30"/>
    </w:rPr>
  </w:style>
  <w:style w:type="paragraph" w:styleId="3">
    <w:name w:val="heading 2"/>
    <w:basedOn w:val="1"/>
    <w:next w:val="1"/>
    <w:qFormat/>
    <w:uiPriority w:val="0"/>
    <w:pPr>
      <w:keepNext/>
      <w:keepLines/>
      <w:spacing w:before="260" w:after="260" w:line="415" w:lineRule="auto"/>
      <w:outlineLvl w:val="1"/>
    </w:pPr>
    <w:rPr>
      <w:rFonts w:ascii="Arial" w:hAnsi="Arial" w:eastAsia="黑体"/>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Body Text"/>
    <w:basedOn w:val="1"/>
    <w:unhideWhenUsed/>
    <w:qFormat/>
    <w:uiPriority w:val="0"/>
    <w:pPr>
      <w:spacing w:after="120"/>
    </w:pPr>
  </w:style>
  <w:style w:type="paragraph" w:styleId="7">
    <w:name w:val="No Spacing"/>
    <w:qFormat/>
    <w:uiPriority w:val="1"/>
    <w:pPr>
      <w:widowControl w:val="0"/>
      <w:jc w:val="center"/>
    </w:pPr>
    <w:rPr>
      <w:rFonts w:ascii="Times New Roman" w:hAnsi="Times New Roman" w:eastAsia="黑体" w:cs="Times New Roman"/>
      <w:kern w:val="2"/>
      <w:sz w:val="30"/>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856</Words>
  <Characters>916</Characters>
  <Lines>0</Lines>
  <Paragraphs>0</Paragraphs>
  <TotalTime>0</TotalTime>
  <ScaleCrop>false</ScaleCrop>
  <LinksUpToDate>false</LinksUpToDate>
  <CharactersWithSpaces>931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2026-07-09T08:56:00Z</dcterms:created>
  <dc:creator>WPS_1212013827</dc:creator>
  <cp:lastModifiedBy>風</cp:lastModifiedBy>
  <dcterms:modified xsi:type="dcterms:W3CDTF">2026-09-17T02:14:09Z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380047E774E543C19ED6262C354EF504_13</vt:lpwstr>
  </property>
  <property fmtid="{D5CDD505-2E9C-101B-9397-08002B2CF9AE}" pid="4" name="KSOTemplateDocerSaveRecord">
    <vt:lpwstr>eyJoZGlkIjoiNjNiMjRiMzZmOGFjMWNkZTE4ZDRiMzhkYzI5NmMzYjQiLCJ1c2VySWQiOiIyNzMzNjg5MTIifQ==</vt:lpwstr>
  </property>
</Properties>
</file>